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5C88" w14:textId="77777777" w:rsidR="0021753D" w:rsidRDefault="00000000">
      <w:pPr>
        <w:pStyle w:val="Heading1"/>
        <w:spacing w:before="35" w:line="398" w:lineRule="auto"/>
        <w:ind w:left="2904" w:right="2868" w:firstLine="0"/>
        <w:jc w:val="center"/>
      </w:pPr>
      <w:r>
        <w:rPr>
          <w:spacing w:val="-2"/>
        </w:rPr>
        <w:t>Bainbridge</w:t>
      </w:r>
      <w:r>
        <w:rPr>
          <w:spacing w:val="-11"/>
        </w:rPr>
        <w:t xml:space="preserve"> </w:t>
      </w:r>
      <w:r>
        <w:rPr>
          <w:spacing w:val="-2"/>
        </w:rPr>
        <w:t>Development</w:t>
      </w:r>
      <w:r>
        <w:rPr>
          <w:spacing w:val="-10"/>
        </w:rPr>
        <w:t xml:space="preserve"> </w:t>
      </w:r>
      <w:r>
        <w:rPr>
          <w:spacing w:val="-2"/>
        </w:rPr>
        <w:t xml:space="preserve">Corporation </w:t>
      </w:r>
      <w:r>
        <w:t>Executive Committee Agenda November 10, 2023</w:t>
      </w:r>
    </w:p>
    <w:p w14:paraId="36F2C25F" w14:textId="77777777" w:rsidR="0021753D" w:rsidRDefault="00000000">
      <w:pPr>
        <w:pStyle w:val="Title"/>
      </w:pPr>
      <w:r>
        <w:t>Microsoft</w:t>
      </w:r>
      <w:r>
        <w:rPr>
          <w:spacing w:val="-6"/>
        </w:rPr>
        <w:t xml:space="preserve"> </w:t>
      </w:r>
      <w:r>
        <w:rPr>
          <w:spacing w:val="-2"/>
        </w:rPr>
        <w:t>Teams</w:t>
      </w:r>
    </w:p>
    <w:p w14:paraId="1A177EBF" w14:textId="77777777" w:rsidR="0021753D" w:rsidRDefault="0021753D">
      <w:pPr>
        <w:pStyle w:val="BodyText"/>
        <w:rPr>
          <w:b/>
          <w:i w:val="0"/>
          <w:sz w:val="22"/>
        </w:rPr>
      </w:pPr>
    </w:p>
    <w:p w14:paraId="12661CC3" w14:textId="77777777" w:rsidR="0021753D" w:rsidRDefault="0021753D">
      <w:pPr>
        <w:pStyle w:val="BodyText"/>
        <w:rPr>
          <w:b/>
          <w:i w:val="0"/>
          <w:sz w:val="22"/>
        </w:rPr>
      </w:pPr>
    </w:p>
    <w:p w14:paraId="726A213B" w14:textId="77777777" w:rsidR="0021753D" w:rsidRDefault="0021753D">
      <w:pPr>
        <w:pStyle w:val="BodyText"/>
        <w:rPr>
          <w:b/>
          <w:i w:val="0"/>
          <w:sz w:val="22"/>
        </w:rPr>
      </w:pPr>
    </w:p>
    <w:p w14:paraId="6C89BDB5" w14:textId="77777777" w:rsidR="0021753D" w:rsidRDefault="0021753D">
      <w:pPr>
        <w:pStyle w:val="BodyText"/>
        <w:rPr>
          <w:b/>
          <w:i w:val="0"/>
          <w:sz w:val="22"/>
        </w:rPr>
      </w:pPr>
    </w:p>
    <w:p w14:paraId="7B3FAA88" w14:textId="77777777" w:rsidR="0021753D" w:rsidRDefault="0021753D">
      <w:pPr>
        <w:pStyle w:val="BodyText"/>
        <w:spacing w:before="10"/>
        <w:rPr>
          <w:b/>
          <w:i w:val="0"/>
          <w:sz w:val="17"/>
        </w:rPr>
      </w:pPr>
    </w:p>
    <w:p w14:paraId="547E2542" w14:textId="77777777" w:rsidR="0021753D" w:rsidRDefault="00000000">
      <w:pPr>
        <w:spacing w:before="1"/>
        <w:ind w:left="100"/>
        <w:rPr>
          <w:i/>
        </w:rPr>
      </w:pPr>
      <w:r>
        <w:rPr>
          <w:i/>
        </w:rPr>
        <w:t>Motion</w:t>
      </w:r>
      <w:r>
        <w:rPr>
          <w:i/>
          <w:spacing w:val="-14"/>
        </w:rPr>
        <w:t xml:space="preserve"> </w:t>
      </w:r>
      <w:r>
        <w:rPr>
          <w:i/>
        </w:rPr>
        <w:t>to</w:t>
      </w:r>
      <w:r>
        <w:rPr>
          <w:i/>
          <w:spacing w:val="-11"/>
        </w:rPr>
        <w:t xml:space="preserve"> </w:t>
      </w:r>
      <w:r>
        <w:rPr>
          <w:i/>
        </w:rPr>
        <w:t>enter</w:t>
      </w:r>
      <w:r>
        <w:rPr>
          <w:i/>
          <w:spacing w:val="-7"/>
        </w:rPr>
        <w:t xml:space="preserve"> </w:t>
      </w:r>
      <w:r>
        <w:rPr>
          <w:i/>
        </w:rPr>
        <w:t>into</w:t>
      </w:r>
      <w:r>
        <w:rPr>
          <w:i/>
          <w:spacing w:val="-6"/>
        </w:rPr>
        <w:t xml:space="preserve"> </w:t>
      </w:r>
      <w:r>
        <w:rPr>
          <w:i/>
        </w:rPr>
        <w:t>closed</w:t>
      </w:r>
      <w:r>
        <w:rPr>
          <w:i/>
          <w:spacing w:val="-10"/>
        </w:rPr>
        <w:t xml:space="preserve"> </w:t>
      </w:r>
      <w:r>
        <w:rPr>
          <w:i/>
        </w:rPr>
        <w:t>session</w:t>
      </w:r>
      <w:r>
        <w:rPr>
          <w:i/>
          <w:spacing w:val="-9"/>
        </w:rPr>
        <w:t xml:space="preserve"> </w:t>
      </w:r>
      <w:r>
        <w:rPr>
          <w:i/>
        </w:rPr>
        <w:t>-</w:t>
      </w:r>
      <w:r>
        <w:rPr>
          <w:i/>
          <w:spacing w:val="-8"/>
        </w:rPr>
        <w:t xml:space="preserve"> </w:t>
      </w:r>
      <w:r>
        <w:rPr>
          <w:i/>
        </w:rPr>
        <w:t>pursuant</w:t>
      </w:r>
      <w:r>
        <w:rPr>
          <w:i/>
          <w:spacing w:val="-10"/>
        </w:rPr>
        <w:t xml:space="preserve"> </w:t>
      </w:r>
      <w:r>
        <w:rPr>
          <w:i/>
        </w:rPr>
        <w:t>to</w:t>
      </w:r>
      <w:r>
        <w:rPr>
          <w:i/>
          <w:spacing w:val="-12"/>
        </w:rPr>
        <w:t xml:space="preserve"> </w:t>
      </w:r>
      <w:r>
        <w:rPr>
          <w:i/>
        </w:rPr>
        <w:t>MD</w:t>
      </w:r>
      <w:r>
        <w:rPr>
          <w:i/>
          <w:spacing w:val="-10"/>
        </w:rPr>
        <w:t xml:space="preserve"> </w:t>
      </w:r>
      <w:r>
        <w:rPr>
          <w:i/>
        </w:rPr>
        <w:t>General</w:t>
      </w:r>
      <w:r>
        <w:rPr>
          <w:i/>
          <w:spacing w:val="-10"/>
        </w:rPr>
        <w:t xml:space="preserve"> </w:t>
      </w:r>
      <w:r>
        <w:rPr>
          <w:i/>
        </w:rPr>
        <w:t>Provisions</w:t>
      </w:r>
      <w:r>
        <w:rPr>
          <w:i/>
          <w:spacing w:val="-8"/>
        </w:rPr>
        <w:t xml:space="preserve"> </w:t>
      </w:r>
      <w:r>
        <w:rPr>
          <w:i/>
        </w:rPr>
        <w:t>Article,</w:t>
      </w:r>
      <w:r>
        <w:rPr>
          <w:i/>
          <w:spacing w:val="-10"/>
        </w:rPr>
        <w:t xml:space="preserve"> </w:t>
      </w:r>
      <w:r>
        <w:rPr>
          <w:i/>
        </w:rPr>
        <w:t>Section</w:t>
      </w:r>
      <w:r>
        <w:rPr>
          <w:i/>
          <w:spacing w:val="-9"/>
        </w:rPr>
        <w:t xml:space="preserve"> </w:t>
      </w:r>
      <w:r>
        <w:rPr>
          <w:i/>
        </w:rPr>
        <w:t>3-305</w:t>
      </w:r>
      <w:r>
        <w:rPr>
          <w:i/>
          <w:spacing w:val="-8"/>
        </w:rPr>
        <w:t xml:space="preserve"> </w:t>
      </w:r>
      <w:r>
        <w:rPr>
          <w:i/>
          <w:spacing w:val="-5"/>
        </w:rPr>
        <w:t>(b)</w:t>
      </w:r>
    </w:p>
    <w:p w14:paraId="06682694" w14:textId="16371C4D" w:rsidR="0021753D" w:rsidRPr="007F352E" w:rsidRDefault="00000000">
      <w:pPr>
        <w:ind w:left="100"/>
        <w:rPr>
          <w:iCs/>
        </w:rPr>
      </w:pPr>
      <w:r>
        <w:rPr>
          <w:i/>
        </w:rPr>
        <w:t>(</w:t>
      </w:r>
      <w:r w:rsidR="007F352E">
        <w:rPr>
          <w:i/>
        </w:rPr>
        <w:t>14</w:t>
      </w:r>
      <w:r>
        <w:rPr>
          <w:i/>
        </w:rPr>
        <w:t>) to “</w:t>
      </w:r>
      <w:r w:rsidR="007F352E" w:rsidRPr="007F352E">
        <w:rPr>
          <w:i/>
        </w:rPr>
        <w:t>To discuss, before a contract is awarded or bids are opened, a matter directly related to a negotiating strategy or the contents of a bid or proposal, if public discussion or disclosure would adversely impact the ability of the public body to participate in the competitive bidding or proposal process.</w:t>
      </w:r>
      <w:r w:rsidR="007F352E">
        <w:rPr>
          <w:i/>
        </w:rPr>
        <w:t xml:space="preserve"> </w:t>
      </w:r>
      <w:r w:rsidR="007F352E">
        <w:rPr>
          <w:iCs/>
        </w:rPr>
        <w:t xml:space="preserve">The board will not return to open session. </w:t>
      </w:r>
    </w:p>
    <w:p w14:paraId="649CA7D2" w14:textId="77777777" w:rsidR="0021753D" w:rsidRDefault="0021753D">
      <w:pPr>
        <w:pStyle w:val="BodyText"/>
        <w:spacing w:before="1"/>
        <w:rPr>
          <w:sz w:val="22"/>
        </w:rPr>
      </w:pPr>
    </w:p>
    <w:p w14:paraId="68DF1BFF" w14:textId="77777777" w:rsidR="0021753D" w:rsidRDefault="00000000">
      <w:pPr>
        <w:pStyle w:val="Heading1"/>
        <w:numPr>
          <w:ilvl w:val="0"/>
          <w:numId w:val="1"/>
        </w:numPr>
        <w:tabs>
          <w:tab w:val="left" w:pos="940"/>
        </w:tabs>
        <w:ind w:hanging="722"/>
      </w:pPr>
      <w:r>
        <w:rPr>
          <w:spacing w:val="-2"/>
        </w:rPr>
        <w:t>Agenda</w:t>
      </w:r>
      <w:r>
        <w:rPr>
          <w:spacing w:val="-1"/>
        </w:rPr>
        <w:t xml:space="preserve"> </w:t>
      </w:r>
      <w:r>
        <w:rPr>
          <w:spacing w:val="-2"/>
        </w:rPr>
        <w:t>Approval</w:t>
      </w:r>
    </w:p>
    <w:p w14:paraId="5241F761" w14:textId="77777777" w:rsidR="0021753D" w:rsidRDefault="0021753D">
      <w:pPr>
        <w:pStyle w:val="BodyText"/>
        <w:rPr>
          <w:i w:val="0"/>
          <w:sz w:val="24"/>
        </w:rPr>
      </w:pPr>
    </w:p>
    <w:p w14:paraId="47BC13BD" w14:textId="77777777" w:rsidR="0021753D" w:rsidRDefault="00000000">
      <w:pPr>
        <w:pStyle w:val="ListParagraph"/>
        <w:numPr>
          <w:ilvl w:val="0"/>
          <w:numId w:val="1"/>
        </w:numPr>
        <w:tabs>
          <w:tab w:val="left" w:pos="940"/>
        </w:tabs>
        <w:ind w:hanging="722"/>
      </w:pPr>
      <w:r>
        <w:t>Adjournment</w:t>
      </w:r>
      <w:r>
        <w:rPr>
          <w:spacing w:val="-11"/>
        </w:rPr>
        <w:t xml:space="preserve"> </w:t>
      </w:r>
      <w:r>
        <w:t>of</w:t>
      </w:r>
      <w:r>
        <w:rPr>
          <w:spacing w:val="-11"/>
        </w:rPr>
        <w:t xml:space="preserve"> </w:t>
      </w:r>
      <w:r>
        <w:t>Closed</w:t>
      </w:r>
      <w:r>
        <w:rPr>
          <w:spacing w:val="-11"/>
        </w:rPr>
        <w:t xml:space="preserve"> </w:t>
      </w:r>
      <w:r>
        <w:rPr>
          <w:spacing w:val="-2"/>
        </w:rPr>
        <w:t>Session</w:t>
      </w:r>
    </w:p>
    <w:p w14:paraId="154E08CA" w14:textId="77777777" w:rsidR="0021753D" w:rsidRDefault="0021753D">
      <w:pPr>
        <w:pStyle w:val="BodyText"/>
        <w:rPr>
          <w:i w:val="0"/>
          <w:sz w:val="22"/>
        </w:rPr>
      </w:pPr>
    </w:p>
    <w:p w14:paraId="6DB3D9AA" w14:textId="77777777" w:rsidR="0021753D" w:rsidRDefault="0021753D">
      <w:pPr>
        <w:pStyle w:val="BodyText"/>
        <w:rPr>
          <w:i w:val="0"/>
          <w:sz w:val="22"/>
        </w:rPr>
      </w:pPr>
    </w:p>
    <w:p w14:paraId="27B23603" w14:textId="77777777" w:rsidR="0021753D" w:rsidRDefault="0021753D">
      <w:pPr>
        <w:pStyle w:val="BodyText"/>
        <w:rPr>
          <w:i w:val="0"/>
          <w:sz w:val="22"/>
        </w:rPr>
      </w:pPr>
    </w:p>
    <w:p w14:paraId="7ACED040" w14:textId="77777777" w:rsidR="0021753D" w:rsidRDefault="0021753D">
      <w:pPr>
        <w:pStyle w:val="BodyText"/>
        <w:rPr>
          <w:i w:val="0"/>
          <w:sz w:val="22"/>
        </w:rPr>
      </w:pPr>
    </w:p>
    <w:p w14:paraId="6B182C2C" w14:textId="77777777" w:rsidR="0021753D" w:rsidRDefault="0021753D">
      <w:pPr>
        <w:pStyle w:val="BodyText"/>
        <w:rPr>
          <w:i w:val="0"/>
          <w:sz w:val="22"/>
        </w:rPr>
      </w:pPr>
    </w:p>
    <w:p w14:paraId="196376D1" w14:textId="77777777" w:rsidR="0021753D" w:rsidRDefault="0021753D">
      <w:pPr>
        <w:pStyle w:val="BodyText"/>
        <w:spacing w:before="12"/>
        <w:rPr>
          <w:i w:val="0"/>
          <w:sz w:val="20"/>
        </w:rPr>
      </w:pPr>
    </w:p>
    <w:p w14:paraId="17D1F9E2" w14:textId="77777777" w:rsidR="0021753D" w:rsidRDefault="00000000">
      <w:pPr>
        <w:pStyle w:val="BodyText"/>
        <w:spacing w:line="259" w:lineRule="auto"/>
        <w:ind w:left="239" w:right="196"/>
        <w:jc w:val="both"/>
      </w:pPr>
      <w:r>
        <w:rPr>
          <w:color w:val="363636"/>
        </w:rPr>
        <w:t>Members</w:t>
      </w:r>
      <w:r>
        <w:rPr>
          <w:color w:val="363636"/>
          <w:spacing w:val="-11"/>
        </w:rPr>
        <w:t xml:space="preserve"> </w:t>
      </w:r>
      <w:r>
        <w:rPr>
          <w:color w:val="363636"/>
        </w:rPr>
        <w:t>of</w:t>
      </w:r>
      <w:r>
        <w:rPr>
          <w:color w:val="363636"/>
          <w:spacing w:val="-10"/>
        </w:rPr>
        <w:t xml:space="preserve"> </w:t>
      </w:r>
      <w:r>
        <w:rPr>
          <w:color w:val="363636"/>
        </w:rPr>
        <w:t>the</w:t>
      </w:r>
      <w:r>
        <w:rPr>
          <w:color w:val="363636"/>
          <w:spacing w:val="-10"/>
        </w:rPr>
        <w:t xml:space="preserve"> </w:t>
      </w:r>
      <w:r>
        <w:rPr>
          <w:color w:val="363636"/>
        </w:rPr>
        <w:t>Board</w:t>
      </w:r>
      <w:r>
        <w:rPr>
          <w:color w:val="363636"/>
          <w:spacing w:val="-10"/>
        </w:rPr>
        <w:t xml:space="preserve"> </w:t>
      </w:r>
      <w:r>
        <w:rPr>
          <w:color w:val="363636"/>
        </w:rPr>
        <w:t>of</w:t>
      </w:r>
      <w:r>
        <w:rPr>
          <w:color w:val="363636"/>
          <w:spacing w:val="-10"/>
        </w:rPr>
        <w:t xml:space="preserve"> </w:t>
      </w:r>
      <w:r>
        <w:rPr>
          <w:color w:val="363636"/>
        </w:rPr>
        <w:t>Directors</w:t>
      </w:r>
      <w:r>
        <w:rPr>
          <w:color w:val="363636"/>
          <w:spacing w:val="-11"/>
        </w:rPr>
        <w:t xml:space="preserve"> </w:t>
      </w:r>
      <w:r>
        <w:rPr>
          <w:color w:val="363636"/>
        </w:rPr>
        <w:t>of</w:t>
      </w:r>
      <w:r>
        <w:rPr>
          <w:color w:val="363636"/>
          <w:spacing w:val="-10"/>
        </w:rPr>
        <w:t xml:space="preserve"> </w:t>
      </w:r>
      <w:r>
        <w:rPr>
          <w:color w:val="363636"/>
        </w:rPr>
        <w:t>the</w:t>
      </w:r>
      <w:r>
        <w:rPr>
          <w:color w:val="363636"/>
          <w:spacing w:val="-9"/>
        </w:rPr>
        <w:t xml:space="preserve"> </w:t>
      </w:r>
      <w:r>
        <w:rPr>
          <w:color w:val="363636"/>
        </w:rPr>
        <w:t>Bainbridge</w:t>
      </w:r>
      <w:r>
        <w:rPr>
          <w:color w:val="363636"/>
          <w:spacing w:val="-9"/>
        </w:rPr>
        <w:t xml:space="preserve"> </w:t>
      </w:r>
      <w:r>
        <w:rPr>
          <w:color w:val="363636"/>
        </w:rPr>
        <w:t>Development</w:t>
      </w:r>
      <w:r>
        <w:rPr>
          <w:color w:val="363636"/>
          <w:spacing w:val="-11"/>
        </w:rPr>
        <w:t xml:space="preserve"> </w:t>
      </w:r>
      <w:r>
        <w:rPr>
          <w:color w:val="363636"/>
        </w:rPr>
        <w:t>Corporation,</w:t>
      </w:r>
      <w:r>
        <w:rPr>
          <w:color w:val="363636"/>
          <w:spacing w:val="-9"/>
        </w:rPr>
        <w:t xml:space="preserve"> </w:t>
      </w:r>
      <w:r>
        <w:rPr>
          <w:color w:val="363636"/>
        </w:rPr>
        <w:t>a</w:t>
      </w:r>
      <w:r>
        <w:rPr>
          <w:color w:val="363636"/>
          <w:spacing w:val="-11"/>
        </w:rPr>
        <w:t xml:space="preserve"> </w:t>
      </w:r>
      <w:r>
        <w:rPr>
          <w:color w:val="363636"/>
        </w:rPr>
        <w:t>body</w:t>
      </w:r>
      <w:r>
        <w:rPr>
          <w:color w:val="363636"/>
          <w:spacing w:val="-10"/>
        </w:rPr>
        <w:t xml:space="preserve"> </w:t>
      </w:r>
      <w:r>
        <w:rPr>
          <w:color w:val="363636"/>
        </w:rPr>
        <w:t>politic</w:t>
      </w:r>
      <w:r>
        <w:rPr>
          <w:color w:val="363636"/>
          <w:spacing w:val="-10"/>
        </w:rPr>
        <w:t xml:space="preserve"> </w:t>
      </w:r>
      <w:r>
        <w:rPr>
          <w:color w:val="363636"/>
        </w:rPr>
        <w:t>and</w:t>
      </w:r>
      <w:r>
        <w:rPr>
          <w:color w:val="363636"/>
          <w:spacing w:val="-10"/>
        </w:rPr>
        <w:t xml:space="preserve"> </w:t>
      </w:r>
      <w:r>
        <w:rPr>
          <w:color w:val="363636"/>
        </w:rPr>
        <w:t>instrumentality</w:t>
      </w:r>
      <w:r>
        <w:rPr>
          <w:color w:val="363636"/>
          <w:spacing w:val="-10"/>
        </w:rPr>
        <w:t xml:space="preserve"> </w:t>
      </w:r>
      <w:r>
        <w:rPr>
          <w:color w:val="363636"/>
        </w:rPr>
        <w:t>of</w:t>
      </w:r>
      <w:r>
        <w:rPr>
          <w:color w:val="363636"/>
          <w:spacing w:val="-9"/>
        </w:rPr>
        <w:t xml:space="preserve"> </w:t>
      </w:r>
      <w:r>
        <w:rPr>
          <w:color w:val="363636"/>
        </w:rPr>
        <w:t>the State of Maryland ("BDC"), owe a fiduciary duty to BDC. As part of that fiduciary duty, Board Members must keep all discussions</w:t>
      </w:r>
      <w:r>
        <w:rPr>
          <w:color w:val="363636"/>
          <w:spacing w:val="-5"/>
        </w:rPr>
        <w:t xml:space="preserve"> </w:t>
      </w:r>
      <w:r>
        <w:rPr>
          <w:color w:val="363636"/>
        </w:rPr>
        <w:t>which</w:t>
      </w:r>
      <w:r>
        <w:rPr>
          <w:color w:val="363636"/>
          <w:spacing w:val="-4"/>
        </w:rPr>
        <w:t xml:space="preserve"> </w:t>
      </w:r>
      <w:r>
        <w:rPr>
          <w:color w:val="363636"/>
        </w:rPr>
        <w:t>occur,</w:t>
      </w:r>
      <w:r>
        <w:rPr>
          <w:color w:val="363636"/>
          <w:spacing w:val="-4"/>
        </w:rPr>
        <w:t xml:space="preserve"> </w:t>
      </w:r>
      <w:r>
        <w:rPr>
          <w:color w:val="363636"/>
        </w:rPr>
        <w:t>or</w:t>
      </w:r>
      <w:r>
        <w:rPr>
          <w:color w:val="363636"/>
          <w:spacing w:val="-4"/>
        </w:rPr>
        <w:t xml:space="preserve"> </w:t>
      </w:r>
      <w:r>
        <w:rPr>
          <w:color w:val="363636"/>
        </w:rPr>
        <w:t>information disclosed,</w:t>
      </w:r>
      <w:r>
        <w:rPr>
          <w:color w:val="363636"/>
          <w:spacing w:val="-2"/>
        </w:rPr>
        <w:t xml:space="preserve"> </w:t>
      </w:r>
      <w:r>
        <w:rPr>
          <w:color w:val="363636"/>
        </w:rPr>
        <w:t>in closed session of</w:t>
      </w:r>
      <w:r>
        <w:rPr>
          <w:color w:val="363636"/>
          <w:spacing w:val="-4"/>
        </w:rPr>
        <w:t xml:space="preserve"> </w:t>
      </w:r>
      <w:r>
        <w:rPr>
          <w:color w:val="363636"/>
        </w:rPr>
        <w:t>the Board</w:t>
      </w:r>
      <w:r>
        <w:rPr>
          <w:color w:val="363636"/>
          <w:spacing w:val="-5"/>
        </w:rPr>
        <w:t xml:space="preserve"> </w:t>
      </w:r>
      <w:r>
        <w:rPr>
          <w:color w:val="363636"/>
        </w:rPr>
        <w:t>or in private</w:t>
      </w:r>
      <w:r>
        <w:rPr>
          <w:color w:val="363636"/>
          <w:spacing w:val="-2"/>
        </w:rPr>
        <w:t xml:space="preserve"> </w:t>
      </w:r>
      <w:r>
        <w:rPr>
          <w:color w:val="363636"/>
        </w:rPr>
        <w:t>between Board Members and/or employees</w:t>
      </w:r>
      <w:r>
        <w:rPr>
          <w:color w:val="363636"/>
          <w:spacing w:val="-1"/>
        </w:rPr>
        <w:t xml:space="preserve"> </w:t>
      </w:r>
      <w:r>
        <w:rPr>
          <w:color w:val="363636"/>
        </w:rPr>
        <w:t>or agents of BDC, in strict confidence and not disclose the nature or content of those discussions</w:t>
      </w:r>
      <w:r>
        <w:rPr>
          <w:color w:val="363636"/>
          <w:spacing w:val="-1"/>
        </w:rPr>
        <w:t xml:space="preserve"> </w:t>
      </w:r>
      <w:r>
        <w:rPr>
          <w:color w:val="363636"/>
        </w:rPr>
        <w:t>or information to any person who is not another Member of the Board or an employee or agent of BDC. The duty of confidentiality extends to disclosure of the activities of BDC as well. This duty does not limit, however, the ability of ex officio</w:t>
      </w:r>
      <w:r>
        <w:rPr>
          <w:color w:val="363636"/>
          <w:spacing w:val="40"/>
        </w:rPr>
        <w:t xml:space="preserve"> </w:t>
      </w:r>
      <w:r>
        <w:rPr>
          <w:color w:val="363636"/>
        </w:rPr>
        <w:t>members</w:t>
      </w:r>
      <w:r>
        <w:rPr>
          <w:color w:val="363636"/>
          <w:spacing w:val="40"/>
        </w:rPr>
        <w:t xml:space="preserve"> </w:t>
      </w:r>
      <w:r>
        <w:rPr>
          <w:color w:val="363636"/>
        </w:rPr>
        <w:t>to</w:t>
      </w:r>
      <w:r>
        <w:rPr>
          <w:color w:val="363636"/>
          <w:spacing w:val="40"/>
        </w:rPr>
        <w:t xml:space="preserve"> </w:t>
      </w:r>
      <w:r>
        <w:rPr>
          <w:color w:val="363636"/>
        </w:rPr>
        <w:t>relay</w:t>
      </w:r>
      <w:r>
        <w:rPr>
          <w:color w:val="363636"/>
          <w:spacing w:val="40"/>
        </w:rPr>
        <w:t xml:space="preserve"> </w:t>
      </w:r>
      <w:r>
        <w:rPr>
          <w:color w:val="363636"/>
        </w:rPr>
        <w:t>information</w:t>
      </w:r>
      <w:r>
        <w:rPr>
          <w:color w:val="363636"/>
          <w:spacing w:val="40"/>
        </w:rPr>
        <w:t xml:space="preserve"> </w:t>
      </w:r>
      <w:r>
        <w:rPr>
          <w:color w:val="363636"/>
        </w:rPr>
        <w:t>to</w:t>
      </w:r>
      <w:r>
        <w:rPr>
          <w:color w:val="363636"/>
          <w:spacing w:val="40"/>
        </w:rPr>
        <w:t xml:space="preserve"> </w:t>
      </w:r>
      <w:r>
        <w:rPr>
          <w:color w:val="363636"/>
        </w:rPr>
        <w:t>the</w:t>
      </w:r>
      <w:r>
        <w:rPr>
          <w:color w:val="363636"/>
          <w:spacing w:val="40"/>
        </w:rPr>
        <w:t xml:space="preserve"> </w:t>
      </w:r>
      <w:r>
        <w:rPr>
          <w:color w:val="363636"/>
        </w:rPr>
        <w:t>entity</w:t>
      </w:r>
      <w:r>
        <w:rPr>
          <w:color w:val="363636"/>
          <w:spacing w:val="39"/>
        </w:rPr>
        <w:t xml:space="preserve"> </w:t>
      </w:r>
      <w:r>
        <w:rPr>
          <w:color w:val="363636"/>
        </w:rPr>
        <w:t>which</w:t>
      </w:r>
      <w:r>
        <w:rPr>
          <w:color w:val="363636"/>
          <w:spacing w:val="40"/>
        </w:rPr>
        <w:t xml:space="preserve"> </w:t>
      </w:r>
      <w:r>
        <w:rPr>
          <w:color w:val="363636"/>
        </w:rPr>
        <w:t>appointed</w:t>
      </w:r>
      <w:r>
        <w:rPr>
          <w:color w:val="363636"/>
          <w:spacing w:val="40"/>
        </w:rPr>
        <w:t xml:space="preserve"> </w:t>
      </w:r>
      <w:r>
        <w:rPr>
          <w:color w:val="363636"/>
        </w:rPr>
        <w:t>the</w:t>
      </w:r>
      <w:r>
        <w:rPr>
          <w:color w:val="363636"/>
          <w:spacing w:val="40"/>
        </w:rPr>
        <w:t xml:space="preserve"> </w:t>
      </w:r>
      <w:r>
        <w:rPr>
          <w:color w:val="363636"/>
        </w:rPr>
        <w:t>ex</w:t>
      </w:r>
      <w:r>
        <w:rPr>
          <w:color w:val="363636"/>
          <w:spacing w:val="40"/>
        </w:rPr>
        <w:t xml:space="preserve"> </w:t>
      </w:r>
      <w:r>
        <w:rPr>
          <w:color w:val="363636"/>
        </w:rPr>
        <w:t>officio</w:t>
      </w:r>
      <w:r>
        <w:rPr>
          <w:color w:val="363636"/>
          <w:spacing w:val="40"/>
        </w:rPr>
        <w:t xml:space="preserve"> </w:t>
      </w:r>
      <w:r>
        <w:rPr>
          <w:color w:val="363636"/>
        </w:rPr>
        <w:t>member</w:t>
      </w:r>
      <w:r>
        <w:rPr>
          <w:color w:val="363636"/>
          <w:spacing w:val="39"/>
        </w:rPr>
        <w:t xml:space="preserve"> </w:t>
      </w:r>
      <w:r>
        <w:rPr>
          <w:color w:val="363636"/>
        </w:rPr>
        <w:t>to</w:t>
      </w:r>
      <w:r>
        <w:rPr>
          <w:color w:val="363636"/>
          <w:spacing w:val="40"/>
        </w:rPr>
        <w:t xml:space="preserve"> </w:t>
      </w:r>
      <w:r>
        <w:rPr>
          <w:color w:val="363636"/>
        </w:rPr>
        <w:t>the</w:t>
      </w:r>
      <w:r>
        <w:rPr>
          <w:color w:val="363636"/>
          <w:spacing w:val="40"/>
        </w:rPr>
        <w:t xml:space="preserve"> </w:t>
      </w:r>
      <w:r>
        <w:rPr>
          <w:color w:val="363636"/>
        </w:rPr>
        <w:t>BDC</w:t>
      </w:r>
      <w:r>
        <w:rPr>
          <w:color w:val="363636"/>
          <w:spacing w:val="80"/>
        </w:rPr>
        <w:t xml:space="preserve"> </w:t>
      </w:r>
      <w:r>
        <w:rPr>
          <w:color w:val="363636"/>
        </w:rPr>
        <w:t>Board.</w:t>
      </w:r>
    </w:p>
    <w:sectPr w:rsidR="0021753D">
      <w:type w:val="continuous"/>
      <w:pgSz w:w="12240" w:h="15840"/>
      <w:pgMar w:top="150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51A7E"/>
    <w:multiLevelType w:val="hybridMultilevel"/>
    <w:tmpl w:val="1E8AFCC2"/>
    <w:lvl w:ilvl="0" w:tplc="29AAE654">
      <w:start w:val="1"/>
      <w:numFmt w:val="upperRoman"/>
      <w:lvlText w:val="%1."/>
      <w:lvlJc w:val="left"/>
      <w:pPr>
        <w:ind w:left="940" w:hanging="723"/>
        <w:jc w:val="left"/>
      </w:pPr>
      <w:rPr>
        <w:rFonts w:ascii="Calibri" w:eastAsia="Calibri" w:hAnsi="Calibri" w:cs="Calibri" w:hint="default"/>
        <w:b w:val="0"/>
        <w:bCs w:val="0"/>
        <w:i w:val="0"/>
        <w:iCs w:val="0"/>
        <w:spacing w:val="-1"/>
        <w:w w:val="100"/>
        <w:sz w:val="22"/>
        <w:szCs w:val="22"/>
        <w:lang w:val="en-US" w:eastAsia="en-US" w:bidi="ar-SA"/>
      </w:rPr>
    </w:lvl>
    <w:lvl w:ilvl="1" w:tplc="CB0893C6">
      <w:numFmt w:val="bullet"/>
      <w:lvlText w:val="•"/>
      <w:lvlJc w:val="left"/>
      <w:pPr>
        <w:ind w:left="1752" w:hanging="723"/>
      </w:pPr>
      <w:rPr>
        <w:rFonts w:hint="default"/>
        <w:lang w:val="en-US" w:eastAsia="en-US" w:bidi="ar-SA"/>
      </w:rPr>
    </w:lvl>
    <w:lvl w:ilvl="2" w:tplc="B99C27E6">
      <w:numFmt w:val="bullet"/>
      <w:lvlText w:val="•"/>
      <w:lvlJc w:val="left"/>
      <w:pPr>
        <w:ind w:left="2564" w:hanging="723"/>
      </w:pPr>
      <w:rPr>
        <w:rFonts w:hint="default"/>
        <w:lang w:val="en-US" w:eastAsia="en-US" w:bidi="ar-SA"/>
      </w:rPr>
    </w:lvl>
    <w:lvl w:ilvl="3" w:tplc="2AF6A7E6">
      <w:numFmt w:val="bullet"/>
      <w:lvlText w:val="•"/>
      <w:lvlJc w:val="left"/>
      <w:pPr>
        <w:ind w:left="3376" w:hanging="723"/>
      </w:pPr>
      <w:rPr>
        <w:rFonts w:hint="default"/>
        <w:lang w:val="en-US" w:eastAsia="en-US" w:bidi="ar-SA"/>
      </w:rPr>
    </w:lvl>
    <w:lvl w:ilvl="4" w:tplc="BA4C9A28">
      <w:numFmt w:val="bullet"/>
      <w:lvlText w:val="•"/>
      <w:lvlJc w:val="left"/>
      <w:pPr>
        <w:ind w:left="4188" w:hanging="723"/>
      </w:pPr>
      <w:rPr>
        <w:rFonts w:hint="default"/>
        <w:lang w:val="en-US" w:eastAsia="en-US" w:bidi="ar-SA"/>
      </w:rPr>
    </w:lvl>
    <w:lvl w:ilvl="5" w:tplc="8796F7E4">
      <w:numFmt w:val="bullet"/>
      <w:lvlText w:val="•"/>
      <w:lvlJc w:val="left"/>
      <w:pPr>
        <w:ind w:left="5000" w:hanging="723"/>
      </w:pPr>
      <w:rPr>
        <w:rFonts w:hint="default"/>
        <w:lang w:val="en-US" w:eastAsia="en-US" w:bidi="ar-SA"/>
      </w:rPr>
    </w:lvl>
    <w:lvl w:ilvl="6" w:tplc="6AE8D118">
      <w:numFmt w:val="bullet"/>
      <w:lvlText w:val="•"/>
      <w:lvlJc w:val="left"/>
      <w:pPr>
        <w:ind w:left="5812" w:hanging="723"/>
      </w:pPr>
      <w:rPr>
        <w:rFonts w:hint="default"/>
        <w:lang w:val="en-US" w:eastAsia="en-US" w:bidi="ar-SA"/>
      </w:rPr>
    </w:lvl>
    <w:lvl w:ilvl="7" w:tplc="41C6AF88">
      <w:numFmt w:val="bullet"/>
      <w:lvlText w:val="•"/>
      <w:lvlJc w:val="left"/>
      <w:pPr>
        <w:ind w:left="6624" w:hanging="723"/>
      </w:pPr>
      <w:rPr>
        <w:rFonts w:hint="default"/>
        <w:lang w:val="en-US" w:eastAsia="en-US" w:bidi="ar-SA"/>
      </w:rPr>
    </w:lvl>
    <w:lvl w:ilvl="8" w:tplc="88F242A2">
      <w:numFmt w:val="bullet"/>
      <w:lvlText w:val="•"/>
      <w:lvlJc w:val="left"/>
      <w:pPr>
        <w:ind w:left="7436" w:hanging="723"/>
      </w:pPr>
      <w:rPr>
        <w:rFonts w:hint="default"/>
        <w:lang w:val="en-US" w:eastAsia="en-US" w:bidi="ar-SA"/>
      </w:rPr>
    </w:lvl>
  </w:abstractNum>
  <w:num w:numId="1" w16cid:durableId="200890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1753D"/>
    <w:rsid w:val="0021753D"/>
    <w:rsid w:val="007F3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2184"/>
  <w15:docId w15:val="{0001A73B-2669-4437-A207-B8BE520F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40" w:hanging="722"/>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8"/>
      <w:szCs w:val="18"/>
    </w:rPr>
  </w:style>
  <w:style w:type="paragraph" w:styleId="Title">
    <w:name w:val="Title"/>
    <w:basedOn w:val="Normal"/>
    <w:uiPriority w:val="10"/>
    <w:qFormat/>
    <w:pPr>
      <w:spacing w:before="98"/>
      <w:ind w:left="2895" w:right="2868"/>
      <w:jc w:val="center"/>
    </w:pPr>
    <w:rPr>
      <w:b/>
      <w:bCs/>
    </w:rPr>
  </w:style>
  <w:style w:type="paragraph" w:styleId="ListParagraph">
    <w:name w:val="List Paragraph"/>
    <w:basedOn w:val="Normal"/>
    <w:uiPriority w:val="1"/>
    <w:qFormat/>
    <w:pPr>
      <w:ind w:left="940" w:hanging="7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Lozzi</dc:creator>
  <cp:lastModifiedBy>Jenifer Peterson</cp:lastModifiedBy>
  <cp:revision>2</cp:revision>
  <dcterms:created xsi:type="dcterms:W3CDTF">2023-11-07T15:32:00Z</dcterms:created>
  <dcterms:modified xsi:type="dcterms:W3CDTF">2023-11-07T18:48:00Z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for Microsoft 365</vt:lpwstr>
  </property>
  <property fmtid="{D5CDD505-2E9C-101B-9397-08002B2CF9AE}" pid="4" name="LastSaved">
    <vt:filetime>2023-11-07T00:00:00Z</vt:filetime>
  </property>
  <property fmtid="{D5CDD505-2E9C-101B-9397-08002B2CF9AE}" pid="5" name="Producer">
    <vt:lpwstr>Microsoft® Word for Microsoft 365</vt:lpwstr>
  </property>
</Properties>
</file>